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C85F2">
      <w:pPr>
        <w:pStyle w:val="3"/>
        <w:jc w:val="center"/>
      </w:pPr>
      <w:r>
        <w:rPr>
          <w:rFonts w:hint="eastAsia" w:ascii="宋体" w:hAnsi="宋体" w:eastAsia="宋体" w:cs="宋体"/>
          <w:sz w:val="44"/>
          <w:szCs w:val="44"/>
        </w:rPr>
        <w:t>全球视野下的跨境文创电商平台“CultureLink”创业策划案</w:t>
      </w:r>
    </w:p>
    <w:p w14:paraId="619642F9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0" w:name="一项目背景与市场分析"/>
      <w:r>
        <w:t>一、项目背景与市场分析</w:t>
      </w:r>
    </w:p>
    <w:p w14:paraId="21123DA8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" w:name="一国内创业环境特征"/>
      <w:r>
        <w:t>（一）国内创业环境特征</w:t>
      </w:r>
    </w:p>
    <w:p w14:paraId="417691F0">
      <w:pPr>
        <w:pStyle w:val="25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政策红利持续释放</w:t>
      </w:r>
      <w:r>
        <w:t>：2023年《“十四</w:t>
      </w:r>
      <w:r>
        <w:rPr>
          <w:rFonts w:hint="eastAsia" w:ascii="宋体" w:hAnsi="宋体" w:eastAsia="宋体" w:cs="宋体"/>
        </w:rPr>
        <w:t>五”电</w:t>
      </w:r>
      <w:r>
        <w:t>子商务发展规划》明确提出支持跨境电商产业链建设，全国已设立132个跨境电商综试区。</w:t>
      </w:r>
      <w:r>
        <w:br w:type="textWrapping"/>
      </w:r>
    </w:p>
    <w:p w14:paraId="7B9CE116">
      <w:pPr>
        <w:pStyle w:val="25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消费升级驱动创新</w:t>
      </w:r>
      <w:r>
        <w:t>：Z世代成为消费主力，对个性化、文化附加值产品的需求年增长率达25%（艾媒咨询2024数据）。</w:t>
      </w:r>
      <w:r>
        <w:br w:type="textWrapping"/>
      </w:r>
    </w:p>
    <w:p w14:paraId="55FED5E3">
      <w:pPr>
        <w:pStyle w:val="25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供应链优势显著</w:t>
      </w:r>
      <w:r>
        <w:t>：中国制造柔性供应链可支持小批量定制生产，义乌、深圳等地已形成跨境小商品集散枢纽。</w:t>
      </w:r>
    </w:p>
    <w:bookmarkEnd w:id="1"/>
    <w:p w14:paraId="26F0BC8C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" w:name="二国际市场机遇"/>
      <w:r>
        <w:t>（二）国际市场机遇</w:t>
      </w:r>
    </w:p>
    <w:p w14:paraId="2AFE89A6">
      <w:pPr>
        <w:pStyle w:val="25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全球文创消费扩张</w:t>
      </w:r>
      <w:r>
        <w:t>：全球手工艺电商市场规模预计2025年突破$800亿（Statista数据），东亚文化输出增速明显。</w:t>
      </w:r>
      <w:r>
        <w:br w:type="textWrapping"/>
      </w:r>
    </w:p>
    <w:p w14:paraId="28D2F241">
      <w:pPr>
        <w:pStyle w:val="25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技术基建成熟</w:t>
      </w:r>
      <w:r>
        <w:t>：Shopify、TikTok Shop等降低出海门槛，跨境支付费率降至3%以下（PayPal 2024报告）。</w:t>
      </w:r>
      <w:r>
        <w:br w:type="textWrapping"/>
      </w:r>
    </w:p>
    <w:p w14:paraId="12F1C8B6">
      <w:pPr>
        <w:pStyle w:val="25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文化符号变现需求</w:t>
      </w:r>
      <w:r>
        <w:t>：法国手作平台“Atelier Made”年交易额1.2亿欧元，验证小众文化产品的规模化可能。</w:t>
      </w:r>
    </w:p>
    <w:p w14:paraId="634CAAA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0"/>
    <w:bookmarkEnd w:id="2"/>
    <w:p w14:paraId="4B68F3A1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3" w:name="二项目定位与核心价值"/>
      <w:r>
        <w:t>二、项目定位与核心价值</w:t>
      </w:r>
    </w:p>
    <w:p w14:paraId="6CFF332B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项目名称</w:t>
      </w:r>
      <w:r>
        <w:t>：CultureLink – 全球文化创作者直连平台</w:t>
      </w:r>
    </w:p>
    <w:p w14:paraId="6C77DB7B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Slogan</w:t>
      </w:r>
      <w:r>
        <w:t>：Where Tradition Meets Trend</w:t>
      </w:r>
    </w:p>
    <w:p w14:paraId="54FFA0D2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核心模式</w:t>
      </w:r>
      <w:r>
        <w:t>：</w:t>
      </w:r>
    </w:p>
    <w:p w14:paraId="2407F848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[供应链图示] 国内非遗工坊 → 云端设计中心 ← 海外独立艺术家</w:t>
      </w:r>
      <w:r>
        <w:br w:type="textWrapping"/>
      </w:r>
      <w:r>
        <w:t>　　　　　↓　　　　　　　↓</w:t>
      </w:r>
      <w:r>
        <w:br w:type="textWrapping"/>
      </w:r>
      <w:r>
        <w:t>　　数字化版权库 → AI定制系统 → 跨境极速供应链 → 全球消费者</w:t>
      </w:r>
    </w:p>
    <w:p w14:paraId="218060C4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差异化优势</w:t>
      </w:r>
      <w:r>
        <w:t>：</w:t>
      </w:r>
    </w:p>
    <w:p w14:paraId="7B002DA7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文化融合设计</w:t>
      </w:r>
      <w:r>
        <w:t>：敦煌壁画元素 × 纽约街头涂鸦联名卫衣</w:t>
      </w:r>
    </w:p>
    <w:p w14:paraId="2A9D15AA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动态定价系统</w:t>
      </w:r>
      <w:r>
        <w:t>：根据区域消费力自动调整产品组合</w:t>
      </w:r>
    </w:p>
    <w:p w14:paraId="3B0A77BC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区块链溯源</w:t>
      </w:r>
      <w:r>
        <w:t>：每件商品附数字护照记录创作故事</w:t>
      </w:r>
    </w:p>
    <w:p w14:paraId="558E105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3"/>
    <w:p w14:paraId="79245713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4" w:name="三运营模式设计"/>
      <w:r>
        <w:t>三、运营模式设计</w:t>
      </w:r>
    </w:p>
    <w:p w14:paraId="038E98D7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5" w:name="一双轨制供应链"/>
      <w:r>
        <w:t>（一）双轨制供应链</w:t>
      </w:r>
    </w:p>
    <w:tbl>
      <w:tblPr>
        <w:tblStyle w:val="4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416"/>
        <w:gridCol w:w="3043"/>
      </w:tblGrid>
      <w:tr w14:paraId="5C5E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612954F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模式</w:t>
            </w:r>
          </w:p>
        </w:tc>
        <w:tc>
          <w:p w14:paraId="36C87C4F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国内供应链（72小时达）</w:t>
            </w:r>
          </w:p>
        </w:tc>
        <w:tc>
          <w:p w14:paraId="0F6DDAF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国际供应链（7日达）</w:t>
            </w:r>
          </w:p>
        </w:tc>
      </w:tr>
      <w:tr w14:paraId="06886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7B5FE1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适用品类</w:t>
            </w:r>
          </w:p>
        </w:tc>
        <w:tc>
          <w:p w14:paraId="00645DAB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汉服配饰、陶瓷小件</w:t>
            </w:r>
          </w:p>
        </w:tc>
        <w:tc>
          <w:p w14:paraId="555190B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大型漆器、定制刺绣</w:t>
            </w:r>
          </w:p>
        </w:tc>
      </w:tr>
      <w:tr w14:paraId="30431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C063D5F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仓储布局</w:t>
            </w:r>
          </w:p>
        </w:tc>
        <w:tc>
          <w:p w14:paraId="2CD5006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杭州、广州保税仓</w:t>
            </w:r>
          </w:p>
        </w:tc>
        <w:tc>
          <w:p w14:paraId="375138C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洛杉矶海外仓</w:t>
            </w:r>
          </w:p>
        </w:tc>
      </w:tr>
      <w:tr w14:paraId="24D37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13B57CF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物流成本</w:t>
            </w:r>
          </w:p>
        </w:tc>
        <w:tc>
          <w:p w14:paraId="5106D1D4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首重￥15，续重￥8/kg</w:t>
            </w:r>
          </w:p>
        </w:tc>
        <w:tc>
          <w:p w14:paraId="7E3E619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包税价$4.99/件</w:t>
            </w:r>
          </w:p>
        </w:tc>
      </w:tr>
      <w:bookmarkEnd w:id="5"/>
    </w:tbl>
    <w:p w14:paraId="2183241A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6" w:name="二创作者生态构建"/>
      <w:r>
        <w:t>（二）创作者生态构建</w:t>
      </w:r>
    </w:p>
    <w:p w14:paraId="1E75CB7A">
      <w:pPr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准入机制</w:t>
      </w:r>
      <w:r>
        <w:t>：</w:t>
      </w:r>
    </w:p>
    <w:p w14:paraId="273EA48B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国内：省级以上非遗传承人</w:t>
      </w:r>
    </w:p>
    <w:p w14:paraId="74A2D52F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国际：Instagram粉丝超5千艺术家</w:t>
      </w:r>
    </w:p>
    <w:p w14:paraId="35B855B0">
      <w:pPr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分成模式</w:t>
      </w:r>
      <w:r>
        <w:t>：</w:t>
      </w:r>
    </w:p>
    <w:p w14:paraId="65A96F24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基础分成：售价的15%</w:t>
      </w:r>
    </w:p>
    <w:p w14:paraId="5AF4271B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激励池：TOP10额外分配5%利润</w:t>
      </w:r>
    </w:p>
    <w:p w14:paraId="475B70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4"/>
    <w:bookmarkEnd w:id="6"/>
    <w:p w14:paraId="00BBF0A8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7" w:name="四财务规划单位人民币"/>
      <w:r>
        <w:t>四、财务规划（单位：人民币）</w:t>
      </w:r>
    </w:p>
    <w:p w14:paraId="1E75074C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8" w:name="一启动期投入0-12个月"/>
      <w:r>
        <w:t>（一）启动期投入（0-12个月）</w:t>
      </w:r>
    </w:p>
    <w:tbl>
      <w:tblPr>
        <w:tblStyle w:val="4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395"/>
        <w:gridCol w:w="3250"/>
      </w:tblGrid>
      <w:tr w14:paraId="2F795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05B4FA1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项目</w:t>
            </w:r>
          </w:p>
        </w:tc>
        <w:tc>
          <w:p w14:paraId="40F4104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金额</w:t>
            </w:r>
          </w:p>
        </w:tc>
        <w:tc>
          <w:p w14:paraId="57797C4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用途</w:t>
            </w:r>
          </w:p>
        </w:tc>
      </w:tr>
      <w:tr w14:paraId="31E6B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41F932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平台开发</w:t>
            </w:r>
          </w:p>
        </w:tc>
        <w:tc>
          <w:p w14:paraId="091FE7E9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80万</w:t>
            </w:r>
          </w:p>
        </w:tc>
        <w:tc>
          <w:p w14:paraId="284E057B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AI设计系统、跨境ERP</w:t>
            </w:r>
          </w:p>
        </w:tc>
      </w:tr>
      <w:tr w14:paraId="0B43B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C6ECF5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首批备货</w:t>
            </w:r>
          </w:p>
        </w:tc>
        <w:tc>
          <w:p w14:paraId="6909C52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50万</w:t>
            </w:r>
          </w:p>
        </w:tc>
        <w:tc>
          <w:p w14:paraId="415DC019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200SKU×50件基准库存</w:t>
            </w:r>
          </w:p>
        </w:tc>
      </w:tr>
      <w:tr w14:paraId="281FB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56A49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KOL营销</w:t>
            </w:r>
          </w:p>
        </w:tc>
        <w:tc>
          <w:p w14:paraId="17D9317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30万</w:t>
            </w:r>
          </w:p>
        </w:tc>
        <w:tc>
          <w:p w14:paraId="6890DC5C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中日英三语区博主合作</w:t>
            </w:r>
          </w:p>
        </w:tc>
      </w:tr>
      <w:tr w14:paraId="7A485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B1F55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2" w:firstLineChars="200"/>
              <w:jc w:val="left"/>
              <w:textAlignment w:val="auto"/>
            </w:pPr>
            <w:r>
              <w:rPr>
                <w:b/>
                <w:bCs/>
              </w:rPr>
              <w:t>合计</w:t>
            </w:r>
          </w:p>
        </w:tc>
        <w:tc>
          <w:p w14:paraId="31B5095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2" w:firstLineChars="200"/>
              <w:jc w:val="left"/>
              <w:textAlignment w:val="auto"/>
            </w:pPr>
            <w:r>
              <w:rPr>
                <w:b/>
                <w:bCs/>
              </w:rPr>
              <w:t>160万</w:t>
            </w:r>
          </w:p>
        </w:tc>
        <w:tc>
          <w:p w14:paraId="4050516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</w:p>
        </w:tc>
      </w:tr>
      <w:bookmarkEnd w:id="8"/>
    </w:tbl>
    <w:p w14:paraId="199A805D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9" w:name="二收益预测"/>
      <w:r>
        <w:t>（二）收益预测</w:t>
      </w:r>
    </w:p>
    <w:tbl>
      <w:tblPr>
        <w:tblStyle w:val="4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776"/>
        <w:gridCol w:w="1416"/>
        <w:gridCol w:w="2856"/>
      </w:tblGrid>
      <w:tr w14:paraId="08EFE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7C7A741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年度</w:t>
            </w:r>
          </w:p>
        </w:tc>
        <w:tc>
          <w:p w14:paraId="1AA8913B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GMV目标</w:t>
            </w:r>
          </w:p>
        </w:tc>
        <w:tc>
          <w:p w14:paraId="71834E6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毛利率</w:t>
            </w:r>
          </w:p>
        </w:tc>
        <w:tc>
          <w:p w14:paraId="32927AE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关键动作</w:t>
            </w:r>
          </w:p>
        </w:tc>
      </w:tr>
      <w:tr w14:paraId="7FA5E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4202D24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第1年</w:t>
            </w:r>
          </w:p>
        </w:tc>
        <w:tc>
          <w:p w14:paraId="140098E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600万</w:t>
            </w:r>
          </w:p>
        </w:tc>
        <w:tc>
          <w:p w14:paraId="0173256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35%</w:t>
            </w:r>
          </w:p>
        </w:tc>
        <w:tc>
          <w:p w14:paraId="38E8D601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签约100+创作者</w:t>
            </w:r>
          </w:p>
        </w:tc>
      </w:tr>
      <w:tr w14:paraId="7CB1F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C2E1AD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第2年</w:t>
            </w:r>
          </w:p>
        </w:tc>
        <w:tc>
          <w:p w14:paraId="1634090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2000万</w:t>
            </w:r>
          </w:p>
        </w:tc>
        <w:tc>
          <w:p w14:paraId="41171DE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42%</w:t>
            </w:r>
          </w:p>
        </w:tc>
        <w:tc>
          <w:p w14:paraId="10CFF059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建立米兰设计中心</w:t>
            </w:r>
          </w:p>
        </w:tc>
      </w:tr>
      <w:tr w14:paraId="63947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756440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第3年</w:t>
            </w:r>
          </w:p>
        </w:tc>
        <w:tc>
          <w:p w14:paraId="527877D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5000万</w:t>
            </w:r>
          </w:p>
        </w:tc>
        <w:tc>
          <w:p w14:paraId="22F5F96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50%</w:t>
            </w:r>
          </w:p>
        </w:tc>
        <w:tc>
          <w:p w14:paraId="43B022B7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开放第三方品牌入驻</w:t>
            </w:r>
          </w:p>
        </w:tc>
      </w:tr>
    </w:tbl>
    <w:p w14:paraId="365FBFE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7"/>
    <w:bookmarkEnd w:id="9"/>
    <w:p w14:paraId="684A4024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0" w:name="五风险控制"/>
      <w:r>
        <w:t>五、风险控制</w:t>
      </w:r>
    </w:p>
    <w:tbl>
      <w:tblPr>
        <w:tblStyle w:val="4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3998"/>
        <w:gridCol w:w="2829"/>
      </w:tblGrid>
      <w:tr w14:paraId="13129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EF840C1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风险类型</w:t>
            </w:r>
          </w:p>
        </w:tc>
        <w:tc>
          <w:p w14:paraId="4E26DC7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应对方案</w:t>
            </w:r>
          </w:p>
        </w:tc>
        <w:tc>
          <w:p w14:paraId="4FBF03E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预警指标</w:t>
            </w:r>
          </w:p>
        </w:tc>
      </w:tr>
      <w:tr w14:paraId="42EBF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C053BF7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文化合规风险</w:t>
            </w:r>
          </w:p>
        </w:tc>
        <w:tc>
          <w:p w14:paraId="2EFD6E3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建立宗教符号数据库过滤敏感元素</w:t>
            </w:r>
          </w:p>
        </w:tc>
        <w:tc>
          <w:p w14:paraId="72DBA1EC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用户投诉率&gt;1‰</w:t>
            </w:r>
          </w:p>
        </w:tc>
      </w:tr>
      <w:tr w14:paraId="0DAE2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C80815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汇率波动</w:t>
            </w:r>
          </w:p>
        </w:tc>
        <w:tc>
          <w:p w14:paraId="2F73E77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使用锁汇服务+5%汇率保证金</w:t>
            </w:r>
          </w:p>
        </w:tc>
        <w:tc>
          <w:p w14:paraId="0DE61BE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单月波动超3%</w:t>
            </w:r>
          </w:p>
        </w:tc>
      </w:tr>
      <w:tr w14:paraId="26E6B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0E83F9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库存滞销</w:t>
            </w:r>
          </w:p>
        </w:tc>
        <w:tc>
          <w:p w14:paraId="1C5B2BA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转化滞销品为DIY材料包</w:t>
            </w:r>
          </w:p>
        </w:tc>
        <w:tc>
          <w:p w14:paraId="2AE9B35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库存周转率&lt;2次/季度</w:t>
            </w:r>
          </w:p>
        </w:tc>
      </w:tr>
    </w:tbl>
    <w:p w14:paraId="77597FE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0"/>
    <w:p w14:paraId="27E99F43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1" w:name="六执行路线图"/>
      <w:r>
        <w:t>六、执行路线图</w:t>
      </w:r>
    </w:p>
    <w:p w14:paraId="2E5FD498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2025年Q1-Q2</w:t>
      </w:r>
    </w:p>
    <w:p w14:paraId="293A8F0C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平台开发：1月-4月</w:t>
      </w:r>
    </w:p>
    <w:p w14:paraId="471D3527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国内仓签约：2月-3月</w:t>
      </w:r>
    </w:p>
    <w:p w14:paraId="3DBA2399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支付系统对接：3月-4月</w:t>
      </w:r>
    </w:p>
    <w:p w14:paraId="067B6B4E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2025年Q3</w:t>
      </w:r>
    </w:p>
    <w:p w14:paraId="3883E495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东京设计周参展（9月）</w:t>
      </w:r>
    </w:p>
    <w:p w14:paraId="54EE6181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启动TikTok挑战赛（10月）</w:t>
      </w:r>
    </w:p>
    <w:p w14:paraId="4E40F66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1"/>
    <w:p w14:paraId="566703F3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2" w:name="七社会价值"/>
      <w:r>
        <w:t>七、社会价值</w:t>
      </w:r>
    </w:p>
    <w:p w14:paraId="5431C50D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 xml:space="preserve">✓ </w:t>
      </w:r>
      <w:r>
        <w:rPr>
          <w:b/>
          <w:bCs/>
        </w:rPr>
        <w:t>文化保护</w:t>
      </w:r>
      <w:r>
        <w:t>：云南扎染项目带动30名手艺人月增收￥4000+</w:t>
      </w:r>
      <w:r>
        <w:br w:type="textWrapping"/>
      </w:r>
      <w:r>
        <w:t xml:space="preserve">✓ </w:t>
      </w:r>
      <w:r>
        <w:rPr>
          <w:b/>
          <w:bCs/>
        </w:rPr>
        <w:t>低碳实践</w:t>
      </w:r>
      <w:r>
        <w:t>：海藻纤维包装减少40%碳足迹</w:t>
      </w:r>
      <w:r>
        <w:br w:type="textWrapping"/>
      </w:r>
      <w:r>
        <w:t xml:space="preserve">✓ </w:t>
      </w:r>
      <w:r>
        <w:rPr>
          <w:b/>
          <w:bCs/>
        </w:rPr>
        <w:t>教育赋能</w:t>
      </w:r>
      <w:r>
        <w:t>：免费开放10万份创作课程</w:t>
      </w:r>
    </w:p>
    <w:p w14:paraId="4E5E5DC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57F5168A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结语</w:t>
      </w:r>
    </w:p>
    <w:p w14:paraId="0A3276A6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CultureLink通过数字化重构文化产品价值链，打造“设计-生产-消费”全球化闭环，初期聚焦东亚-北美市场，为中国电商出海提供创新范式。</w:t>
      </w:r>
    </w:p>
    <w:p w14:paraId="47310CBC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 xml:space="preserve"> 1. 全选文本粘贴至Word 2. 主标题：选中首行 → [字体]选宋体 → [字号]选二号 → [段落]居中 3. 正文：选中其余文本 → [字体]选宋体 → [字号]选小四 → [段落]设置：</w:t>
      </w:r>
    </w:p>
    <w:p w14:paraId="48A52AF7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行距：1.5倍</w:t>
      </w:r>
    </w:p>
    <w:p w14:paraId="3579B09A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特殊格式：首行缩进2字符</w:t>
      </w:r>
    </w:p>
    <w:p w14:paraId="1721620F">
      <w:pPr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表格调整：点击表格 → [表格工具] → [布局] → 对齐方式居中</w:t>
      </w:r>
    </w:p>
    <w:p w14:paraId="511F1A3D">
      <w:pPr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建议封面页包含：</w:t>
      </w:r>
    </w:p>
    <w:p w14:paraId="57D67196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学校/院系LOGO</w:t>
      </w:r>
    </w:p>
    <w:p w14:paraId="0F2A4917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《全球视野下的跨境文创电商平台创业策划案》</w:t>
      </w:r>
    </w:p>
    <w:p w14:paraId="772B748D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姓名/学号/专业</w:t>
      </w:r>
    </w:p>
    <w:p w14:paraId="3F5931C8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提交日期：2025年X月X日</w:t>
      </w:r>
    </w:p>
    <w:p w14:paraId="0190DFE3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</w:p>
    <w:p w14:paraId="6AD9B4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E26E9D1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Kimi:</w:t>
      </w:r>
    </w:p>
    <w:p w14:paraId="1F38E6F8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以下是按照你的要求整理好的文档内容。你可以将这些内容复制到Word中，并按照文档设置说明进行格式调整。</w:t>
      </w:r>
    </w:p>
    <w:p w14:paraId="1890AD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2"/>
    <w:p w14:paraId="291FFCEB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</w:pPr>
      <w:bookmarkStart w:id="13" w:name="全球视野下的跨境文创电商平台culturelink创业策划案"/>
      <w:r>
        <w:t>全球视野下的跨境文创电商平台“CultureLink”创业策划案</w:t>
      </w:r>
    </w:p>
    <w:p w14:paraId="4740688A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4" w:name="一项目背景与市场分析-1"/>
      <w:r>
        <w:t>一、项目背景与市场分析</w:t>
      </w:r>
    </w:p>
    <w:p w14:paraId="5540A559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8" w:name="_GoBack"/>
      <w:bookmarkStart w:id="15" w:name="一国内创业环境特征-1"/>
      <w:r>
        <w:t>（一）国内创业环境特征</w:t>
      </w:r>
    </w:p>
    <w:bookmarkEnd w:id="28"/>
    <w:p w14:paraId="2C491146">
      <w:pPr>
        <w:pStyle w:val="25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政策红利持续释放</w:t>
      </w:r>
      <w:r>
        <w:t>：2023年《“十四五”电子商务发展规划》明确提出支持跨境电商产业链建设，全国已设立132个跨境电商综试区。</w:t>
      </w:r>
      <w:r>
        <w:br w:type="textWrapping"/>
      </w:r>
    </w:p>
    <w:p w14:paraId="3357D015">
      <w:pPr>
        <w:pStyle w:val="25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消费升级驱动创新</w:t>
      </w:r>
      <w:r>
        <w:t>：Z世代成为消费主力，对个性化、文化附加值产品的需求年增长率达25%（艾媒咨询2024数据）。</w:t>
      </w:r>
      <w:r>
        <w:br w:type="textWrapping"/>
      </w:r>
    </w:p>
    <w:p w14:paraId="7ECF6054">
      <w:pPr>
        <w:pStyle w:val="25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供应链优势显著</w:t>
      </w:r>
      <w:r>
        <w:t>：中国制造柔性供应链可支持小批量定制生产，义乌、深圳等地已形成跨境小商品集散枢纽。</w:t>
      </w:r>
    </w:p>
    <w:bookmarkEnd w:id="15"/>
    <w:p w14:paraId="0096F538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6" w:name="二国际市场机遇-1"/>
      <w:r>
        <w:t>（二）国际市场机遇</w:t>
      </w:r>
    </w:p>
    <w:p w14:paraId="4DDFA01F">
      <w:pPr>
        <w:pStyle w:val="25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全球文创消费扩张</w:t>
      </w:r>
      <w:r>
        <w:t>：全球手工艺电商市场规模预计2025年突破$800亿（Statista数据），东亚文化输出增速明显。</w:t>
      </w:r>
      <w:r>
        <w:br w:type="textWrapping"/>
      </w:r>
    </w:p>
    <w:p w14:paraId="5E52BC92">
      <w:pPr>
        <w:pStyle w:val="25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技术基建成熟</w:t>
      </w:r>
      <w:r>
        <w:t>：Shopify、TikTok Shop等降低出海门槛，跨境支付费率降至3%以下（PayPal 2024报告）。</w:t>
      </w:r>
      <w:r>
        <w:br w:type="textWrapping"/>
      </w:r>
    </w:p>
    <w:p w14:paraId="289EF8B4">
      <w:pPr>
        <w:pStyle w:val="25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文化符号变现需求</w:t>
      </w:r>
      <w:r>
        <w:t>：法国手作平台“Atelier Made”年交易额1.2亿欧元，验证小众文化产品的规模化可能。</w:t>
      </w:r>
    </w:p>
    <w:p w14:paraId="35AF0BE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4"/>
    <w:bookmarkEnd w:id="16"/>
    <w:p w14:paraId="451820E5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7" w:name="二项目定位与核心价值-1"/>
      <w:r>
        <w:t>二、项目定位与核心价值</w:t>
      </w:r>
    </w:p>
    <w:p w14:paraId="68762D52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项目名称</w:t>
      </w:r>
      <w:r>
        <w:t>：CultureLink – 全球文化创作者直连平台</w:t>
      </w:r>
    </w:p>
    <w:p w14:paraId="2A3FDEAE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Slogan</w:t>
      </w:r>
      <w:r>
        <w:t>：Where Tradition Meets Trend</w:t>
      </w:r>
    </w:p>
    <w:p w14:paraId="07E248B8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核心模式</w:t>
      </w:r>
      <w:r>
        <w:t>：</w:t>
      </w:r>
    </w:p>
    <w:p w14:paraId="1EB25145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[供应链图示]</w:t>
      </w:r>
      <w:r>
        <w:br w:type="textWrapping"/>
      </w:r>
      <w:r>
        <w:t>国内非遗工坊 → 云端设计中心 ← 海外独立艺术家</w:t>
      </w:r>
      <w:r>
        <w:br w:type="textWrapping"/>
      </w:r>
      <w:r>
        <w:t>　　　　　↓　　　　　　　↓</w:t>
      </w:r>
      <w:r>
        <w:br w:type="textWrapping"/>
      </w:r>
      <w:r>
        <w:t>　　数字化版权库 → AI定制系统 → 跨境极速供应链 → 全球消费者</w:t>
      </w:r>
    </w:p>
    <w:p w14:paraId="515404C4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差异化优势</w:t>
      </w:r>
      <w:r>
        <w:t>：</w:t>
      </w:r>
    </w:p>
    <w:p w14:paraId="55509A3C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文化融合设计</w:t>
      </w:r>
      <w:r>
        <w:t>：敦煌壁画元素 × 纽约街头涂鸦联名卫衣</w:t>
      </w:r>
    </w:p>
    <w:p w14:paraId="58FB61FE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动态定价系统</w:t>
      </w:r>
      <w:r>
        <w:t>：根据区域消费力自动调整产品组合</w:t>
      </w:r>
    </w:p>
    <w:p w14:paraId="69C6050E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区块链溯源</w:t>
      </w:r>
      <w:r>
        <w:t>：每件商品附数字护照记录创作故事</w:t>
      </w:r>
    </w:p>
    <w:p w14:paraId="2669099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7"/>
    <w:p w14:paraId="6C5339EF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8" w:name="三运营模式设计-1"/>
      <w:r>
        <w:t>三、运营模式设计</w:t>
      </w:r>
    </w:p>
    <w:p w14:paraId="38E27EA6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19" w:name="一双轨制供应链-1"/>
      <w:r>
        <w:t>（一）双轨制供应链</w:t>
      </w:r>
    </w:p>
    <w:tbl>
      <w:tblPr>
        <w:tblStyle w:val="4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416"/>
        <w:gridCol w:w="3043"/>
      </w:tblGrid>
      <w:tr w14:paraId="11C8C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B77E3D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模式</w:t>
            </w:r>
          </w:p>
        </w:tc>
        <w:tc>
          <w:p w14:paraId="5B0998E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国内供应链（72小时达）</w:t>
            </w:r>
          </w:p>
        </w:tc>
        <w:tc>
          <w:p w14:paraId="7EC7BE9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国际供应链（7日达）</w:t>
            </w:r>
          </w:p>
        </w:tc>
      </w:tr>
      <w:tr w14:paraId="0B110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88BEEC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适用品类</w:t>
            </w:r>
          </w:p>
        </w:tc>
        <w:tc>
          <w:p w14:paraId="5F75475F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汉服配饰、陶瓷小件</w:t>
            </w:r>
          </w:p>
        </w:tc>
        <w:tc>
          <w:p w14:paraId="6DA325C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大型漆器、定制刺绣</w:t>
            </w:r>
          </w:p>
        </w:tc>
      </w:tr>
      <w:tr w14:paraId="517A0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1B1312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仓储布局</w:t>
            </w:r>
          </w:p>
        </w:tc>
        <w:tc>
          <w:p w14:paraId="33B30C87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杭州、广州保税仓</w:t>
            </w:r>
          </w:p>
        </w:tc>
        <w:tc>
          <w:p w14:paraId="724C4B6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洛杉矶海外仓</w:t>
            </w:r>
          </w:p>
        </w:tc>
      </w:tr>
      <w:tr w14:paraId="25441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889A25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物流成本</w:t>
            </w:r>
          </w:p>
        </w:tc>
        <w:tc>
          <w:p w14:paraId="6F003A0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首重￥15，续重￥8/kg</w:t>
            </w:r>
          </w:p>
        </w:tc>
        <w:tc>
          <w:p w14:paraId="774ECCD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包税价$4.99/件</w:t>
            </w:r>
          </w:p>
        </w:tc>
      </w:tr>
      <w:bookmarkEnd w:id="19"/>
    </w:tbl>
    <w:p w14:paraId="112C7012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0" w:name="二创作者生态构建-1"/>
      <w:r>
        <w:t>（二）创作者生态构建</w:t>
      </w:r>
    </w:p>
    <w:p w14:paraId="323A8699">
      <w:pPr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准入机制</w:t>
      </w:r>
      <w:r>
        <w:t>：</w:t>
      </w:r>
    </w:p>
    <w:p w14:paraId="1A1270D4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国内：省级以上非遗传承人</w:t>
      </w:r>
    </w:p>
    <w:p w14:paraId="4F0B9293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国际：Instagram粉丝超5千艺术家</w:t>
      </w:r>
    </w:p>
    <w:p w14:paraId="59DDCA0D">
      <w:pPr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分成模式</w:t>
      </w:r>
      <w:r>
        <w:t>：</w:t>
      </w:r>
    </w:p>
    <w:p w14:paraId="411B0070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基础分成：售价的15%</w:t>
      </w:r>
    </w:p>
    <w:p w14:paraId="6B39ED88">
      <w:pPr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激励池：TOP10额外分配5%利润</w:t>
      </w:r>
    </w:p>
    <w:p w14:paraId="3E90ED2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8"/>
    <w:bookmarkEnd w:id="20"/>
    <w:p w14:paraId="4929951B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1" w:name="四财务规划单位人民币-1"/>
      <w:r>
        <w:t>四、财务规划（单位：人民币）</w:t>
      </w:r>
    </w:p>
    <w:p w14:paraId="3510CDD6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2" w:name="一启动期投入0-12个月-1"/>
      <w:r>
        <w:t>（一）启动期投入（0-12个月）</w:t>
      </w:r>
    </w:p>
    <w:tbl>
      <w:tblPr>
        <w:tblStyle w:val="4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395"/>
        <w:gridCol w:w="3250"/>
      </w:tblGrid>
      <w:tr w14:paraId="56334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8731CB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项目</w:t>
            </w:r>
          </w:p>
        </w:tc>
        <w:tc>
          <w:p w14:paraId="03F9516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金额</w:t>
            </w:r>
          </w:p>
        </w:tc>
        <w:tc>
          <w:p w14:paraId="6A57CA0C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用途</w:t>
            </w:r>
          </w:p>
        </w:tc>
      </w:tr>
      <w:tr w14:paraId="17815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027FD5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平台开发</w:t>
            </w:r>
          </w:p>
        </w:tc>
        <w:tc>
          <w:p w14:paraId="51FAAA3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80万</w:t>
            </w:r>
          </w:p>
        </w:tc>
        <w:tc>
          <w:p w14:paraId="0BADC0E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AI设计系统、跨境ERP</w:t>
            </w:r>
          </w:p>
        </w:tc>
      </w:tr>
      <w:tr w14:paraId="31EC3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DD5A79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首批备货</w:t>
            </w:r>
          </w:p>
        </w:tc>
        <w:tc>
          <w:p w14:paraId="25F02639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50万</w:t>
            </w:r>
          </w:p>
        </w:tc>
        <w:tc>
          <w:p w14:paraId="1D5FBD47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200SKU×50件基准库存</w:t>
            </w:r>
          </w:p>
        </w:tc>
      </w:tr>
      <w:tr w14:paraId="761AD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1B47A6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KOL营销</w:t>
            </w:r>
          </w:p>
        </w:tc>
        <w:tc>
          <w:p w14:paraId="6775C011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30万</w:t>
            </w:r>
          </w:p>
        </w:tc>
        <w:tc>
          <w:p w14:paraId="3CBF8D4B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中日英三语区博主合作</w:t>
            </w:r>
          </w:p>
        </w:tc>
      </w:tr>
      <w:tr w14:paraId="6DC65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D215882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2" w:firstLineChars="200"/>
              <w:jc w:val="left"/>
              <w:textAlignment w:val="auto"/>
            </w:pPr>
            <w:r>
              <w:rPr>
                <w:b/>
                <w:bCs/>
              </w:rPr>
              <w:t>合计</w:t>
            </w:r>
          </w:p>
        </w:tc>
        <w:tc>
          <w:p w14:paraId="1A89023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2" w:firstLineChars="200"/>
              <w:jc w:val="left"/>
              <w:textAlignment w:val="auto"/>
            </w:pPr>
            <w:r>
              <w:rPr>
                <w:b/>
                <w:bCs/>
              </w:rPr>
              <w:t>160万</w:t>
            </w:r>
          </w:p>
        </w:tc>
        <w:tc>
          <w:p w14:paraId="01D0A35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</w:p>
        </w:tc>
      </w:tr>
      <w:bookmarkEnd w:id="22"/>
    </w:tbl>
    <w:p w14:paraId="6A54048F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3" w:name="二收益预测-1"/>
      <w:r>
        <w:t>（二）收益预测</w:t>
      </w:r>
    </w:p>
    <w:tbl>
      <w:tblPr>
        <w:tblStyle w:val="4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776"/>
        <w:gridCol w:w="1416"/>
        <w:gridCol w:w="2856"/>
      </w:tblGrid>
      <w:tr w14:paraId="02CC8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C5528B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年度</w:t>
            </w:r>
          </w:p>
        </w:tc>
        <w:tc>
          <w:p w14:paraId="0337D8C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GMV目标</w:t>
            </w:r>
          </w:p>
        </w:tc>
        <w:tc>
          <w:p w14:paraId="490D7343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毛利率</w:t>
            </w:r>
          </w:p>
        </w:tc>
        <w:tc>
          <w:p w14:paraId="7FBD21C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关键动作</w:t>
            </w:r>
          </w:p>
        </w:tc>
      </w:tr>
      <w:tr w14:paraId="72BA0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F873BF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第1年</w:t>
            </w:r>
          </w:p>
        </w:tc>
        <w:tc>
          <w:p w14:paraId="0D5B4C1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600万</w:t>
            </w:r>
          </w:p>
        </w:tc>
        <w:tc>
          <w:p w14:paraId="2E18FC5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35%</w:t>
            </w:r>
          </w:p>
        </w:tc>
        <w:tc>
          <w:p w14:paraId="529FCB71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签约100+创作者</w:t>
            </w:r>
          </w:p>
        </w:tc>
      </w:tr>
      <w:tr w14:paraId="59094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21D88A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第2年</w:t>
            </w:r>
          </w:p>
        </w:tc>
        <w:tc>
          <w:p w14:paraId="080037BB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2000万</w:t>
            </w:r>
          </w:p>
        </w:tc>
        <w:tc>
          <w:p w14:paraId="209C4884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42%</w:t>
            </w:r>
          </w:p>
        </w:tc>
        <w:tc>
          <w:p w14:paraId="477AE2D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建立米兰设计中心</w:t>
            </w:r>
          </w:p>
        </w:tc>
      </w:tr>
      <w:tr w14:paraId="70B36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E02C9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第3年</w:t>
            </w:r>
          </w:p>
        </w:tc>
        <w:tc>
          <w:p w14:paraId="7F5D365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5000万</w:t>
            </w:r>
          </w:p>
        </w:tc>
        <w:tc>
          <w:p w14:paraId="15D04378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50%</w:t>
            </w:r>
          </w:p>
        </w:tc>
        <w:tc>
          <w:p w14:paraId="4C5C962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开放第三方品牌入驻</w:t>
            </w:r>
          </w:p>
        </w:tc>
      </w:tr>
    </w:tbl>
    <w:p w14:paraId="57F7D3F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1"/>
    <w:bookmarkEnd w:id="23"/>
    <w:p w14:paraId="39833E8E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4" w:name="五风险控制-1"/>
      <w:r>
        <w:t>五、风险控制</w:t>
      </w:r>
    </w:p>
    <w:tbl>
      <w:tblPr>
        <w:tblStyle w:val="4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4238"/>
        <w:gridCol w:w="2503"/>
      </w:tblGrid>
      <w:tr w14:paraId="52B6F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5795A0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风险类型</w:t>
            </w:r>
          </w:p>
        </w:tc>
        <w:tc>
          <w:p w14:paraId="2B3B978E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应对方案</w:t>
            </w:r>
          </w:p>
        </w:tc>
        <w:tc>
          <w:p w14:paraId="0F2EDE24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预警指标</w:t>
            </w:r>
          </w:p>
        </w:tc>
      </w:tr>
      <w:tr w14:paraId="60531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CECDC5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文化合规风险</w:t>
            </w:r>
          </w:p>
        </w:tc>
        <w:tc>
          <w:p w14:paraId="2AA54B16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建立宗教符号数据库过滤敏感元素</w:t>
            </w:r>
          </w:p>
        </w:tc>
        <w:tc>
          <w:p w14:paraId="30687B94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用户投诉率&gt;1‰</w:t>
            </w:r>
          </w:p>
        </w:tc>
      </w:tr>
      <w:tr w14:paraId="2ED38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73BD159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汇率波动</w:t>
            </w:r>
          </w:p>
        </w:tc>
        <w:tc>
          <w:p w14:paraId="26AB7F9D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使用锁汇服务+5%汇率保证金</w:t>
            </w:r>
          </w:p>
        </w:tc>
        <w:tc>
          <w:p w14:paraId="65387DD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单月波动超3%</w:t>
            </w:r>
          </w:p>
        </w:tc>
      </w:tr>
      <w:tr w14:paraId="6AC3B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AE88594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库存滞销</w:t>
            </w:r>
          </w:p>
        </w:tc>
        <w:tc>
          <w:p w14:paraId="61791F00">
            <w:pPr>
              <w:pStyle w:val="2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t>转化滞销品为DIY材料包</w:t>
            </w:r>
          </w:p>
        </w:tc>
        <w:tc>
          <w:p w14:paraId="388EBDA3">
            <w:pPr>
              <w:pStyle w:val="3"/>
              <w:bidi w:val="0"/>
            </w:pPr>
            <w:r>
              <w:t>库存周转率&lt;2次/季度</w:t>
            </w:r>
          </w:p>
        </w:tc>
      </w:tr>
    </w:tbl>
    <w:p w14:paraId="42A1CE7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4"/>
    <w:p w14:paraId="4DEB7662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5" w:name="六执行路线图-1"/>
      <w:r>
        <w:t>六、执行路线图</w:t>
      </w:r>
    </w:p>
    <w:p w14:paraId="3E7CA858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2025年Q1-Q2</w:t>
      </w:r>
    </w:p>
    <w:p w14:paraId="0237C307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平台开发：1月-4月</w:t>
      </w:r>
    </w:p>
    <w:p w14:paraId="1704A3CE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国内仓签约：2月-3月</w:t>
      </w:r>
    </w:p>
    <w:p w14:paraId="61537437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支付系统对接：3月-4月</w:t>
      </w:r>
    </w:p>
    <w:p w14:paraId="0E3D1A63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2025年Q3</w:t>
      </w:r>
    </w:p>
    <w:p w14:paraId="6F546B28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东京设计周参展（9月）</w:t>
      </w:r>
    </w:p>
    <w:p w14:paraId="5AF9CFC3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启动TikTok挑战赛（10月）</w:t>
      </w:r>
    </w:p>
    <w:p w14:paraId="0AFD03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3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5"/>
    <w:p w14:paraId="1D8E4FB5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20" w:firstLineChars="200"/>
        <w:textAlignment w:val="auto"/>
      </w:pPr>
      <w:bookmarkStart w:id="26" w:name="七社会价值-1"/>
      <w:r>
        <w:t>七、社会价值</w:t>
      </w:r>
    </w:p>
    <w:p w14:paraId="10B53C14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 xml:space="preserve">✓ </w:t>
      </w:r>
      <w:r>
        <w:rPr>
          <w:b/>
          <w:bCs/>
        </w:rPr>
        <w:t>文化保护</w:t>
      </w:r>
      <w:r>
        <w:t>：云南扎染项目带动30名手艺人月增收￥4000+</w:t>
      </w:r>
      <w:r>
        <w:br w:type="textWrapping"/>
      </w:r>
      <w:r>
        <w:t xml:space="preserve">✓ </w:t>
      </w:r>
      <w:r>
        <w:rPr>
          <w:b/>
          <w:bCs/>
        </w:rPr>
        <w:t>低碳实践</w:t>
      </w:r>
      <w:r>
        <w:t>：海藻纤维包装减少40%碳足迹</w:t>
      </w:r>
      <w:r>
        <w:br w:type="textWrapping"/>
      </w:r>
      <w:r>
        <w:t xml:space="preserve">✓ </w:t>
      </w:r>
      <w:r>
        <w:rPr>
          <w:b/>
          <w:bCs/>
        </w:rPr>
        <w:t>教育赋能</w:t>
      </w:r>
      <w:r>
        <w:t>：免费开放10万份创作课程</w:t>
      </w:r>
    </w:p>
    <w:p w14:paraId="7AFB22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pict>
          <v:rect id="_x0000_i104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D243890"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b/>
          <w:bCs/>
        </w:rPr>
        <w:t>结语</w:t>
      </w:r>
    </w:p>
    <w:p w14:paraId="52DDE3F5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CultureLink通过数字化重构文化产品价值链，打造“设计-生产-消费”全球化闭环，初期聚焦东亚-北美市场，为中国电商出海提供创新范式。</w:t>
      </w:r>
    </w:p>
    <w:p w14:paraId="1001466D">
      <w:r>
        <w:pict>
          <v:rect id="_x0000_i104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6"/>
    <w:p w14:paraId="14AE9FF1">
      <w:pPr>
        <w:pStyle w:val="5"/>
      </w:pPr>
      <w:bookmarkStart w:id="27" w:name="文档设置说明"/>
      <w:r>
        <w:t>文档设置说明</w:t>
      </w:r>
    </w:p>
    <w:p w14:paraId="52C3D8E2">
      <w:pPr>
        <w:numPr>
          <w:ilvl w:val="0"/>
          <w:numId w:val="9"/>
        </w:numPr>
      </w:pPr>
      <w:r>
        <w:rPr>
          <w:b/>
          <w:bCs/>
        </w:rPr>
        <w:t>全选文本粘贴至Word</w:t>
      </w:r>
      <w:r>
        <w:br w:type="textWrapping"/>
      </w:r>
    </w:p>
    <w:p w14:paraId="28DCCD64">
      <w:pPr>
        <w:numPr>
          <w:ilvl w:val="0"/>
          <w:numId w:val="9"/>
        </w:numPr>
      </w:pPr>
      <w:r>
        <w:rPr>
          <w:b/>
          <w:bCs/>
        </w:rPr>
        <w:t>主标题</w:t>
      </w:r>
      <w:r>
        <w:t>：选中首行 → [字体]选宋体 → [字号]选二号 → [段落]居中</w:t>
      </w:r>
      <w:r>
        <w:br w:type="textWrapping"/>
      </w:r>
    </w:p>
    <w:p w14:paraId="68FFBB32">
      <w:pPr>
        <w:numPr>
          <w:ilvl w:val="0"/>
          <w:numId w:val="9"/>
        </w:numPr>
      </w:pPr>
      <w:r>
        <w:rPr>
          <w:b/>
          <w:bCs/>
        </w:rPr>
        <w:t>正文</w:t>
      </w:r>
      <w:r>
        <w:t>：选中其余文本 → [字体]选宋体 → [字号]选小四 → [段落]设置：</w:t>
      </w:r>
    </w:p>
    <w:p w14:paraId="34115D33">
      <w:pPr>
        <w:numPr>
          <w:ilvl w:val="1"/>
          <w:numId w:val="3"/>
        </w:numPr>
      </w:pPr>
      <w:r>
        <w:t>行距：1.5倍</w:t>
      </w:r>
    </w:p>
    <w:p w14:paraId="5B358177">
      <w:pPr>
        <w:numPr>
          <w:ilvl w:val="1"/>
          <w:numId w:val="3"/>
        </w:numPr>
      </w:pPr>
      <w:r>
        <w:t>特殊格式：首行缩进2字符</w:t>
      </w:r>
    </w:p>
    <w:p w14:paraId="6415B348">
      <w:pPr>
        <w:numPr>
          <w:ilvl w:val="0"/>
          <w:numId w:val="9"/>
        </w:numPr>
      </w:pPr>
      <w:r>
        <w:rPr>
          <w:b/>
          <w:bCs/>
        </w:rPr>
        <w:t>表格调整</w:t>
      </w:r>
      <w:r>
        <w:t>：点击表格 → [表格工具] → [布局] → 对齐方式居中</w:t>
      </w:r>
      <w:r>
        <w:br w:type="textWrapping"/>
      </w:r>
    </w:p>
    <w:p w14:paraId="5C8B3D1F">
      <w:pPr>
        <w:numPr>
          <w:ilvl w:val="0"/>
          <w:numId w:val="9"/>
        </w:numPr>
      </w:pPr>
      <w:r>
        <w:rPr>
          <w:b/>
          <w:bCs/>
        </w:rPr>
        <w:t>建议封面页包含</w:t>
      </w:r>
      <w:r>
        <w:t>：</w:t>
      </w:r>
    </w:p>
    <w:p w14:paraId="57868D11">
      <w:pPr>
        <w:numPr>
          <w:ilvl w:val="1"/>
          <w:numId w:val="3"/>
        </w:numPr>
      </w:pPr>
      <w:r>
        <w:t>学校/院系LOGO</w:t>
      </w:r>
    </w:p>
    <w:p w14:paraId="417ABBC0">
      <w:pPr>
        <w:numPr>
          <w:ilvl w:val="1"/>
          <w:numId w:val="3"/>
        </w:numPr>
      </w:pPr>
      <w:r>
        <w:t>《全球视野下的跨境文创电商平台创业策划案》</w:t>
      </w:r>
    </w:p>
    <w:p w14:paraId="02B55FAD">
      <w:pPr>
        <w:numPr>
          <w:ilvl w:val="1"/>
          <w:numId w:val="3"/>
        </w:numPr>
      </w:pPr>
      <w:r>
        <w:t>姓名/学号/专业</w:t>
      </w:r>
    </w:p>
    <w:p w14:paraId="456E09D8">
      <w:pPr>
        <w:numPr>
          <w:ilvl w:val="1"/>
          <w:numId w:val="3"/>
        </w:numPr>
      </w:pPr>
      <w:r>
        <w:t>提交日期：2025年X月X日</w:t>
      </w:r>
    </w:p>
    <w:p w14:paraId="5D977CF4">
      <w:r>
        <w:pict>
          <v:rect id="_x0000_i104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6E07D4C">
      <w:pPr>
        <w:pStyle w:val="24"/>
      </w:pPr>
      <w:r>
        <w:t>希望这些内容对你有帮助！如果还有需要调整的地方，请随时告诉我。</w:t>
      </w:r>
    </w:p>
    <w:p w14:paraId="10895FC9">
      <w:r>
        <w:pict>
          <v:rect id="_x0000_i104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3"/>
    <w:bookmarkEnd w:id="27"/>
    <w:sectPr>
      <w:footnotePr>
        <w:numRestart w:val="eachSect"/>
      </w:footnotePr>
      <w:pgSz w:w="12240" w:h="15840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480"/>
      </w:pPr>
    </w:lvl>
    <w:lvl w:ilvl="1" w:tentative="0">
      <w:start w:val="1"/>
      <w:numFmt w:val="decimal"/>
      <w:lvlText w:val="%2."/>
      <w:lvlJc w:val="left"/>
      <w:pPr>
        <w:ind w:left="1440" w:hanging="480"/>
      </w:pPr>
    </w:lvl>
    <w:lvl w:ilvl="2" w:tentative="0">
      <w:start w:val="1"/>
      <w:numFmt w:val="decimal"/>
      <w:lvlText w:val="%3."/>
      <w:lvlJc w:val="left"/>
      <w:pPr>
        <w:ind w:left="2160" w:hanging="480"/>
      </w:pPr>
    </w:lvl>
    <w:lvl w:ilvl="3" w:tentative="0">
      <w:start w:val="1"/>
      <w:numFmt w:val="decimal"/>
      <w:lvlText w:val="%4."/>
      <w:lvlJc w:val="left"/>
      <w:pPr>
        <w:ind w:left="2880" w:hanging="480"/>
      </w:pPr>
    </w:lvl>
    <w:lvl w:ilvl="4" w:tentative="0">
      <w:start w:val="1"/>
      <w:numFmt w:val="decimal"/>
      <w:lvlText w:val="%5."/>
      <w:lvlJc w:val="left"/>
      <w:pPr>
        <w:ind w:left="3600" w:hanging="480"/>
      </w:pPr>
    </w:lvl>
    <w:lvl w:ilvl="5" w:tentative="0">
      <w:start w:val="1"/>
      <w:numFmt w:val="decimal"/>
      <w:lvlText w:val="%6."/>
      <w:lvlJc w:val="left"/>
      <w:pPr>
        <w:ind w:left="4320" w:hanging="480"/>
      </w:pPr>
    </w:lvl>
    <w:lvl w:ilvl="6" w:tentative="0">
      <w:start w:val="1"/>
      <w:numFmt w:val="decimal"/>
      <w:lvlText w:val="%7."/>
      <w:lvlJc w:val="left"/>
      <w:pPr>
        <w:ind w:left="5040" w:hanging="480"/>
      </w:pPr>
    </w:lvl>
    <w:lvl w:ilvl="7" w:tentative="0">
      <w:start w:val="1"/>
      <w:numFmt w:val="decimal"/>
      <w:lvlText w:val="%8."/>
      <w:lvlJc w:val="left"/>
      <w:pPr>
        <w:ind w:left="5760" w:hanging="480"/>
      </w:pPr>
    </w:lvl>
    <w:lvl w:ilvl="8" w:tentative="0">
      <w:start w:val="1"/>
      <w:numFmt w:val="decimal"/>
      <w:lvlText w:val="%9."/>
      <w:lvlJc w:val="left"/>
      <w:pPr>
        <w:ind w:left="6480" w:hanging="480"/>
      </w:pPr>
    </w:lvl>
  </w:abstractNum>
  <w:abstractNum w:abstractNumId="2">
    <w:nsid w:val="00A99414"/>
    <w:multiLevelType w:val="multilevel"/>
    <w:tmpl w:val="00A99414"/>
    <w:lvl w:ilvl="0" w:tentative="0">
      <w:start w:val="4"/>
      <w:numFmt w:val="decimal"/>
      <w:lvlText w:val="%1."/>
      <w:lvlJc w:val="left"/>
      <w:pPr>
        <w:ind w:left="720" w:hanging="480"/>
      </w:pPr>
    </w:lvl>
    <w:lvl w:ilvl="1" w:tentative="0">
      <w:start w:val="4"/>
      <w:numFmt w:val="decimal"/>
      <w:lvlText w:val="%2."/>
      <w:lvlJc w:val="left"/>
      <w:pPr>
        <w:ind w:left="1440" w:hanging="480"/>
      </w:pPr>
    </w:lvl>
    <w:lvl w:ilvl="2" w:tentative="0">
      <w:start w:val="4"/>
      <w:numFmt w:val="decimal"/>
      <w:lvlText w:val="%3."/>
      <w:lvlJc w:val="left"/>
      <w:pPr>
        <w:ind w:left="2160" w:hanging="480"/>
      </w:pPr>
    </w:lvl>
    <w:lvl w:ilvl="3" w:tentative="0">
      <w:start w:val="4"/>
      <w:numFmt w:val="decimal"/>
      <w:lvlText w:val="%4."/>
      <w:lvlJc w:val="left"/>
      <w:pPr>
        <w:ind w:left="2880" w:hanging="480"/>
      </w:pPr>
    </w:lvl>
    <w:lvl w:ilvl="4" w:tentative="0">
      <w:start w:val="4"/>
      <w:numFmt w:val="decimal"/>
      <w:lvlText w:val="%5."/>
      <w:lvlJc w:val="left"/>
      <w:pPr>
        <w:ind w:left="3600" w:hanging="480"/>
      </w:pPr>
    </w:lvl>
    <w:lvl w:ilvl="5" w:tentative="0">
      <w:start w:val="4"/>
      <w:numFmt w:val="decimal"/>
      <w:lvlText w:val="%6."/>
      <w:lvlJc w:val="left"/>
      <w:pPr>
        <w:ind w:left="4320" w:hanging="480"/>
      </w:pPr>
    </w:lvl>
    <w:lvl w:ilvl="6" w:tentative="0">
      <w:start w:val="4"/>
      <w:numFmt w:val="decimal"/>
      <w:lvlText w:val="%7."/>
      <w:lvlJc w:val="left"/>
      <w:pPr>
        <w:ind w:left="5040" w:hanging="480"/>
      </w:pPr>
    </w:lvl>
    <w:lvl w:ilvl="7" w:tentative="0">
      <w:start w:val="4"/>
      <w:numFmt w:val="decimal"/>
      <w:lvlText w:val="%8."/>
      <w:lvlJc w:val="left"/>
      <w:pPr>
        <w:ind w:left="5760" w:hanging="480"/>
      </w:pPr>
    </w:lvl>
    <w:lvl w:ilvl="8" w:tentative="0">
      <w:start w:val="4"/>
      <w:numFmt w:val="decimal"/>
      <w:lvlText w:val="%9.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33AA7"/>
    <w:rsid w:val="525A1D1D"/>
    <w:rsid w:val="5316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360" w:lineRule="auto"/>
    </w:pPr>
    <w:rPr>
      <w:rFonts w:ascii="Arial" w:hAnsi="Arial" w:eastAsia="宋体" w:cs="Times New Roman (正文 CS 字体)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2"/>
    <w:qFormat/>
    <w:uiPriority w:val="9"/>
    <w:pPr>
      <w:keepNext/>
      <w:keepLines/>
      <w:outlineLvl w:val="0"/>
    </w:pPr>
    <w:rPr>
      <w:rFonts w:eastAsia="黑体" w:cs="Times New Roman (标题 CS)"/>
      <w:sz w:val="30"/>
      <w:szCs w:val="40"/>
    </w:rPr>
  </w:style>
  <w:style w:type="paragraph" w:styleId="4">
    <w:name w:val="heading 2"/>
    <w:basedOn w:val="1"/>
    <w:next w:val="3"/>
    <w:link w:val="33"/>
    <w:semiHidden/>
    <w:unhideWhenUsed/>
    <w:qFormat/>
    <w:uiPriority w:val="9"/>
    <w:pPr>
      <w:keepNext/>
      <w:keepLines/>
      <w:outlineLvl w:val="1"/>
    </w:pPr>
    <w:rPr>
      <w:rFonts w:eastAsia="黑体" w:cs="Times New Roman (标题 CS)"/>
      <w:sz w:val="28"/>
      <w:szCs w:val="32"/>
    </w:rPr>
  </w:style>
  <w:style w:type="paragraph" w:styleId="5">
    <w:name w:val="heading 3"/>
    <w:basedOn w:val="1"/>
    <w:next w:val="3"/>
    <w:link w:val="34"/>
    <w:semiHidden/>
    <w:unhideWhenUsed/>
    <w:qFormat/>
    <w:uiPriority w:val="9"/>
    <w:pPr>
      <w:keepNext/>
      <w:keepLines/>
      <w:outlineLvl w:val="2"/>
    </w:pPr>
    <w:rPr>
      <w:rFonts w:eastAsia="黑体" w:cs="Times New Roman (标题 CS)"/>
      <w:sz w:val="26"/>
      <w:szCs w:val="28"/>
    </w:rPr>
  </w:style>
  <w:style w:type="paragraph" w:styleId="6">
    <w:name w:val="heading 4"/>
    <w:basedOn w:val="5"/>
    <w:next w:val="3"/>
    <w:link w:val="35"/>
    <w:unhideWhenUsed/>
    <w:qFormat/>
    <w:uiPriority w:val="9"/>
    <w:pPr>
      <w:outlineLvl w:val="3"/>
    </w:pPr>
  </w:style>
  <w:style w:type="paragraph" w:styleId="7">
    <w:name w:val="heading 5"/>
    <w:basedOn w:val="6"/>
    <w:next w:val="3"/>
    <w:link w:val="36"/>
    <w:unhideWhenUsed/>
    <w:qFormat/>
    <w:uiPriority w:val="9"/>
    <w:pPr>
      <w:outlineLvl w:val="4"/>
    </w:pPr>
  </w:style>
  <w:style w:type="paragraph" w:styleId="8">
    <w:name w:val="heading 6"/>
    <w:basedOn w:val="7"/>
    <w:next w:val="3"/>
    <w:link w:val="37"/>
    <w:unhideWhenUsed/>
    <w:qFormat/>
    <w:uiPriority w:val="9"/>
    <w:pPr>
      <w:outlineLvl w:val="5"/>
    </w:pPr>
  </w:style>
  <w:style w:type="paragraph" w:styleId="9">
    <w:name w:val="heading 7"/>
    <w:basedOn w:val="8"/>
    <w:next w:val="3"/>
    <w:link w:val="38"/>
    <w:unhideWhenUsed/>
    <w:qFormat/>
    <w:uiPriority w:val="9"/>
    <w:pPr>
      <w:outlineLvl w:val="6"/>
    </w:pPr>
  </w:style>
  <w:style w:type="paragraph" w:styleId="10">
    <w:name w:val="heading 8"/>
    <w:basedOn w:val="9"/>
    <w:next w:val="3"/>
    <w:link w:val="39"/>
    <w:unhideWhenUsed/>
    <w:qFormat/>
    <w:uiPriority w:val="9"/>
    <w:pPr>
      <w:outlineLvl w:val="7"/>
    </w:pPr>
  </w:style>
  <w:style w:type="paragraph" w:styleId="11">
    <w:name w:val="heading 9"/>
    <w:basedOn w:val="10"/>
    <w:next w:val="3"/>
    <w:link w:val="40"/>
    <w:unhideWhenUsed/>
    <w:qFormat/>
    <w:uiPriority w:val="9"/>
    <w:pPr>
      <w:outlineLvl w:val="8"/>
    </w:p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12">
    <w:name w:val="caption"/>
    <w:basedOn w:val="1"/>
    <w:link w:val="22"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6"/>
    <w:qFormat/>
    <w:uiPriority w:val="10"/>
    <w:pPr>
      <w:contextualSpacing/>
      <w:jc w:val="center"/>
    </w:pPr>
    <w:rPr>
      <w:rFonts w:eastAsia="黑体" w:cs="Times New Roman (标题 CS)"/>
      <w:sz w:val="30"/>
      <w:szCs w:val="56"/>
    </w:rPr>
  </w:style>
  <w:style w:type="paragraph" w:styleId="16">
    <w:name w:val="Subtitle"/>
    <w:basedOn w:val="15"/>
    <w:next w:val="3"/>
    <w:link w:val="27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  <w:rPr>
      <w:sz w:val="18"/>
    </w:rPr>
  </w:style>
  <w:style w:type="table" w:styleId="19">
    <w:name w:val="Table Grid"/>
    <w:basedOn w:val="18"/>
    <w:uiPriority w:val="0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2"/>
    <w:uiPriority w:val="0"/>
    <w:rPr>
      <w:color w:val="156082" w:themeColor="accent1"/>
    </w:rPr>
  </w:style>
  <w:style w:type="character" w:customStyle="1" w:styleId="22">
    <w:name w:val="题注 字符"/>
    <w:basedOn w:val="20"/>
    <w:link w:val="12"/>
    <w:uiPriority w:val="0"/>
  </w:style>
  <w:style w:type="character" w:styleId="23">
    <w:name w:val="footnote reference"/>
    <w:basedOn w:val="22"/>
    <w:qFormat/>
    <w:uiPriority w:val="0"/>
    <w:rPr>
      <w:vertAlign w:val="superscript"/>
    </w:rPr>
  </w:style>
  <w:style w:type="paragraph" w:customStyle="1" w:styleId="24">
    <w:name w:val="First Paragraph"/>
    <w:basedOn w:val="3"/>
    <w:next w:val="3"/>
    <w:qFormat/>
    <w:uiPriority w:val="0"/>
  </w:style>
  <w:style w:type="paragraph" w:customStyle="1" w:styleId="25">
    <w:name w:val="Compact"/>
    <w:basedOn w:val="3"/>
    <w:qFormat/>
    <w:uiPriority w:val="0"/>
    <w:pPr>
      <w:spacing w:before="36" w:after="36"/>
    </w:pPr>
  </w:style>
  <w:style w:type="character" w:customStyle="1" w:styleId="26">
    <w:name w:val="标题 字符"/>
    <w:basedOn w:val="20"/>
    <w:link w:val="15"/>
    <w:uiPriority w:val="10"/>
    <w:rPr>
      <w:rFonts w:ascii="Arial" w:hAnsi="Arial" w:eastAsia="黑体" w:cs="Times New Roman (标题 CS)"/>
      <w:sz w:val="30"/>
      <w:szCs w:val="56"/>
    </w:rPr>
  </w:style>
  <w:style w:type="character" w:customStyle="1" w:styleId="27">
    <w:name w:val="副标题 字符"/>
    <w:basedOn w:val="20"/>
    <w:link w:val="16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8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9">
    <w:name w:val="Abstract Title"/>
    <w:basedOn w:val="1"/>
    <w:next w:val="30"/>
    <w:qFormat/>
    <w:uiPriority w:val="0"/>
    <w:pPr>
      <w:keepNext/>
      <w:keepLines/>
      <w:spacing w:before="300"/>
      <w:jc w:val="center"/>
    </w:pPr>
    <w:rPr>
      <w:b/>
      <w:sz w:val="20"/>
      <w:szCs w:val="20"/>
    </w:rPr>
  </w:style>
  <w:style w:type="paragraph" w:customStyle="1" w:styleId="30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1">
    <w:name w:val="Bibliography"/>
    <w:basedOn w:val="1"/>
    <w:qFormat/>
    <w:uiPriority w:val="0"/>
  </w:style>
  <w:style w:type="character" w:customStyle="1" w:styleId="32">
    <w:name w:val="标题 1 字符"/>
    <w:basedOn w:val="20"/>
    <w:link w:val="2"/>
    <w:uiPriority w:val="9"/>
    <w:rPr>
      <w:rFonts w:ascii="Arial" w:hAnsi="Arial" w:eastAsia="黑体" w:cs="Times New Roman (标题 CS)"/>
      <w:sz w:val="30"/>
      <w:szCs w:val="40"/>
    </w:rPr>
  </w:style>
  <w:style w:type="character" w:customStyle="1" w:styleId="33">
    <w:name w:val="标题 2 字符"/>
    <w:basedOn w:val="20"/>
    <w:link w:val="4"/>
    <w:semiHidden/>
    <w:uiPriority w:val="9"/>
    <w:rPr>
      <w:rFonts w:ascii="Arial" w:hAnsi="Arial" w:eastAsia="黑体" w:cs="Times New Roman (标题 CS)"/>
      <w:sz w:val="28"/>
      <w:szCs w:val="32"/>
    </w:rPr>
  </w:style>
  <w:style w:type="character" w:customStyle="1" w:styleId="34">
    <w:name w:val="标题 3 字符"/>
    <w:basedOn w:val="20"/>
    <w:link w:val="5"/>
    <w:semiHidden/>
    <w:uiPriority w:val="9"/>
    <w:rPr>
      <w:rFonts w:ascii="Arial" w:hAnsi="Arial" w:eastAsia="黑体" w:cs="Times New Roman (标题 CS)"/>
      <w:sz w:val="26"/>
      <w:szCs w:val="28"/>
    </w:rPr>
  </w:style>
  <w:style w:type="character" w:customStyle="1" w:styleId="35">
    <w:name w:val="标题 4 字符"/>
    <w:basedOn w:val="20"/>
    <w:link w:val="6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36">
    <w:name w:val="标题 5 字符"/>
    <w:basedOn w:val="20"/>
    <w:link w:val="7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37">
    <w:name w:val="标题 6 字符"/>
    <w:basedOn w:val="20"/>
    <w:link w:val="8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38">
    <w:name w:val="标题 7 字符"/>
    <w:basedOn w:val="20"/>
    <w:link w:val="9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39">
    <w:name w:val="标题 8 字符"/>
    <w:basedOn w:val="20"/>
    <w:link w:val="10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40">
    <w:name w:val="标题 9 字符"/>
    <w:basedOn w:val="20"/>
    <w:link w:val="11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paragraph" w:customStyle="1" w:styleId="41">
    <w:name w:val="Footnote Block Text"/>
    <w:basedOn w:val="17"/>
    <w:next w:val="17"/>
    <w:unhideWhenUsed/>
    <w:qFormat/>
    <w:uiPriority w:val="9"/>
    <w:pPr>
      <w:spacing w:before="100" w:after="100"/>
      <w:ind w:left="480" w:right="480"/>
    </w:pPr>
  </w:style>
  <w:style w:type="table" w:customStyle="1" w:styleId="42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3">
    <w:name w:val="Definition Term"/>
    <w:basedOn w:val="1"/>
    <w:next w:val="44"/>
    <w:uiPriority w:val="0"/>
    <w:pPr>
      <w:keepNext/>
      <w:keepLines/>
    </w:pPr>
    <w:rPr>
      <w:b/>
    </w:rPr>
  </w:style>
  <w:style w:type="paragraph" w:customStyle="1" w:styleId="44">
    <w:name w:val="Definition"/>
    <w:basedOn w:val="1"/>
    <w:uiPriority w:val="0"/>
  </w:style>
  <w:style w:type="paragraph" w:customStyle="1" w:styleId="45">
    <w:name w:val="Table Caption"/>
    <w:basedOn w:val="12"/>
    <w:uiPriority w:val="0"/>
    <w:pPr>
      <w:keepNext/>
      <w:spacing w:after="0"/>
      <w:jc w:val="center"/>
    </w:pPr>
    <w:rPr>
      <w:i w:val="0"/>
      <w:sz w:val="20"/>
    </w:rPr>
  </w:style>
  <w:style w:type="paragraph" w:customStyle="1" w:styleId="46">
    <w:name w:val="Image Caption"/>
    <w:basedOn w:val="12"/>
    <w:uiPriority w:val="0"/>
    <w:pPr>
      <w:spacing w:after="0"/>
      <w:jc w:val="center"/>
    </w:pPr>
    <w:rPr>
      <w:i w:val="0"/>
      <w:sz w:val="20"/>
    </w:rPr>
  </w:style>
  <w:style w:type="paragraph" w:customStyle="1" w:styleId="47">
    <w:name w:val="Figure"/>
    <w:basedOn w:val="1"/>
    <w:uiPriority w:val="0"/>
  </w:style>
  <w:style w:type="paragraph" w:customStyle="1" w:styleId="48">
    <w:name w:val="Captioned Figure"/>
    <w:basedOn w:val="47"/>
    <w:uiPriority w:val="0"/>
    <w:pPr>
      <w:keepNext/>
    </w:pPr>
  </w:style>
  <w:style w:type="character" w:customStyle="1" w:styleId="49">
    <w:name w:val="Verbatim Char"/>
    <w:basedOn w:val="22"/>
    <w:link w:val="50"/>
    <w:uiPriority w:val="0"/>
    <w:rPr>
      <w:rFonts w:ascii="Consolas" w:hAnsi="Consolas"/>
      <w:sz w:val="22"/>
    </w:rPr>
  </w:style>
  <w:style w:type="paragraph" w:customStyle="1" w:styleId="50">
    <w:name w:val="Source Code"/>
    <w:link w:val="49"/>
    <w:qFormat/>
    <w:uiPriority w:val="0"/>
    <w:pPr>
      <w:wordWrap w:val="0"/>
      <w:spacing w:after="200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customStyle="1" w:styleId="51">
    <w:name w:val="Section Number"/>
    <w:basedOn w:val="22"/>
    <w:qFormat/>
    <w:uiPriority w:val="0"/>
  </w:style>
  <w:style w:type="paragraph" w:customStyle="1" w:styleId="52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</w:rPr>
  </w:style>
  <w:style w:type="paragraph" w:styleId="53">
    <w:name w:val="List Paragraph"/>
    <w:basedOn w:val="3"/>
    <w:qFormat/>
    <w:uiPriority w:val="0"/>
    <w:pPr>
      <w:ind w:firstLine="420" w:firstLineChars="200"/>
    </w:pPr>
  </w:style>
  <w:style w:type="character" w:customStyle="1" w:styleId="54">
    <w:name w:val="KeywordTok"/>
    <w:basedOn w:val="49"/>
    <w:qFormat/>
    <w:uiPriority w:val="0"/>
    <w:rPr>
      <w:b/>
      <w:color w:val="007020"/>
    </w:rPr>
  </w:style>
  <w:style w:type="character" w:customStyle="1" w:styleId="55">
    <w:name w:val="DataTypeTok"/>
    <w:basedOn w:val="49"/>
    <w:uiPriority w:val="0"/>
    <w:rPr>
      <w:color w:val="902000"/>
    </w:rPr>
  </w:style>
  <w:style w:type="character" w:customStyle="1" w:styleId="56">
    <w:name w:val="DecValTok"/>
    <w:basedOn w:val="49"/>
    <w:uiPriority w:val="0"/>
    <w:rPr>
      <w:color w:val="40A070"/>
    </w:rPr>
  </w:style>
  <w:style w:type="character" w:customStyle="1" w:styleId="57">
    <w:name w:val="BaseNTok"/>
    <w:basedOn w:val="49"/>
    <w:uiPriority w:val="0"/>
    <w:rPr>
      <w:color w:val="40A070"/>
    </w:rPr>
  </w:style>
  <w:style w:type="character" w:customStyle="1" w:styleId="58">
    <w:name w:val="FloatTok"/>
    <w:basedOn w:val="49"/>
    <w:qFormat/>
    <w:uiPriority w:val="0"/>
    <w:rPr>
      <w:color w:val="40A070"/>
    </w:rPr>
  </w:style>
  <w:style w:type="character" w:customStyle="1" w:styleId="59">
    <w:name w:val="ConstantTok"/>
    <w:basedOn w:val="49"/>
    <w:uiPriority w:val="0"/>
    <w:rPr>
      <w:color w:val="880000"/>
    </w:rPr>
  </w:style>
  <w:style w:type="character" w:customStyle="1" w:styleId="60">
    <w:name w:val="CharTok"/>
    <w:basedOn w:val="49"/>
    <w:uiPriority w:val="0"/>
    <w:rPr>
      <w:color w:val="4070A0"/>
    </w:rPr>
  </w:style>
  <w:style w:type="character" w:customStyle="1" w:styleId="61">
    <w:name w:val="SpecialCharTok"/>
    <w:basedOn w:val="49"/>
    <w:uiPriority w:val="0"/>
    <w:rPr>
      <w:color w:val="4070A0"/>
    </w:rPr>
  </w:style>
  <w:style w:type="character" w:customStyle="1" w:styleId="62">
    <w:name w:val="StringTok"/>
    <w:basedOn w:val="49"/>
    <w:qFormat/>
    <w:uiPriority w:val="0"/>
    <w:rPr>
      <w:color w:val="4070A0"/>
    </w:rPr>
  </w:style>
  <w:style w:type="character" w:customStyle="1" w:styleId="63">
    <w:name w:val="VerbatimStringTok"/>
    <w:basedOn w:val="49"/>
    <w:uiPriority w:val="0"/>
    <w:rPr>
      <w:color w:val="4070A0"/>
    </w:rPr>
  </w:style>
  <w:style w:type="character" w:customStyle="1" w:styleId="64">
    <w:name w:val="SpecialStringTok"/>
    <w:basedOn w:val="49"/>
    <w:uiPriority w:val="0"/>
    <w:rPr>
      <w:color w:val="BB6688"/>
    </w:rPr>
  </w:style>
  <w:style w:type="character" w:customStyle="1" w:styleId="65">
    <w:name w:val="ImportTok"/>
    <w:basedOn w:val="49"/>
    <w:uiPriority w:val="0"/>
    <w:rPr>
      <w:b/>
      <w:color w:val="008000"/>
    </w:rPr>
  </w:style>
  <w:style w:type="character" w:customStyle="1" w:styleId="66">
    <w:name w:val="CommentTok"/>
    <w:basedOn w:val="49"/>
    <w:qFormat/>
    <w:uiPriority w:val="0"/>
    <w:rPr>
      <w:i/>
      <w:color w:val="60A0B0"/>
    </w:rPr>
  </w:style>
  <w:style w:type="character" w:customStyle="1" w:styleId="67">
    <w:name w:val="DocumentationTok"/>
    <w:basedOn w:val="49"/>
    <w:uiPriority w:val="0"/>
    <w:rPr>
      <w:i/>
      <w:color w:val="BA2121"/>
    </w:rPr>
  </w:style>
  <w:style w:type="character" w:customStyle="1" w:styleId="68">
    <w:name w:val="AnnotationTok"/>
    <w:basedOn w:val="49"/>
    <w:uiPriority w:val="0"/>
    <w:rPr>
      <w:b/>
      <w:i/>
      <w:color w:val="60A0B0"/>
    </w:rPr>
  </w:style>
  <w:style w:type="character" w:customStyle="1" w:styleId="69">
    <w:name w:val="CommentVarTok"/>
    <w:basedOn w:val="49"/>
    <w:uiPriority w:val="0"/>
    <w:rPr>
      <w:b/>
      <w:i/>
      <w:color w:val="60A0B0"/>
    </w:rPr>
  </w:style>
  <w:style w:type="character" w:customStyle="1" w:styleId="70">
    <w:name w:val="OtherTok"/>
    <w:basedOn w:val="49"/>
    <w:uiPriority w:val="0"/>
    <w:rPr>
      <w:color w:val="007020"/>
    </w:rPr>
  </w:style>
  <w:style w:type="character" w:customStyle="1" w:styleId="71">
    <w:name w:val="FunctionTok"/>
    <w:basedOn w:val="49"/>
    <w:qFormat/>
    <w:uiPriority w:val="0"/>
    <w:rPr>
      <w:color w:val="06287E"/>
    </w:rPr>
  </w:style>
  <w:style w:type="character" w:customStyle="1" w:styleId="72">
    <w:name w:val="VariableTok"/>
    <w:basedOn w:val="49"/>
    <w:uiPriority w:val="0"/>
    <w:rPr>
      <w:color w:val="19177C"/>
    </w:rPr>
  </w:style>
  <w:style w:type="character" w:customStyle="1" w:styleId="73">
    <w:name w:val="ControlFlowTok"/>
    <w:basedOn w:val="49"/>
    <w:qFormat/>
    <w:uiPriority w:val="0"/>
    <w:rPr>
      <w:b/>
      <w:color w:val="007020"/>
    </w:rPr>
  </w:style>
  <w:style w:type="character" w:customStyle="1" w:styleId="74">
    <w:name w:val="OperatorTok"/>
    <w:basedOn w:val="49"/>
    <w:qFormat/>
    <w:uiPriority w:val="0"/>
    <w:rPr>
      <w:color w:val="666666"/>
    </w:rPr>
  </w:style>
  <w:style w:type="character" w:customStyle="1" w:styleId="75">
    <w:name w:val="BuiltInTok"/>
    <w:basedOn w:val="49"/>
    <w:qFormat/>
    <w:uiPriority w:val="0"/>
    <w:rPr>
      <w:color w:val="008000"/>
    </w:rPr>
  </w:style>
  <w:style w:type="character" w:customStyle="1" w:styleId="76">
    <w:name w:val="ExtensionTok"/>
    <w:basedOn w:val="49"/>
    <w:qFormat/>
    <w:uiPriority w:val="0"/>
  </w:style>
  <w:style w:type="character" w:customStyle="1" w:styleId="77">
    <w:name w:val="PreprocessorTok"/>
    <w:basedOn w:val="49"/>
    <w:qFormat/>
    <w:uiPriority w:val="0"/>
    <w:rPr>
      <w:color w:val="BC7A00"/>
    </w:rPr>
  </w:style>
  <w:style w:type="character" w:customStyle="1" w:styleId="78">
    <w:name w:val="AttributeTok"/>
    <w:basedOn w:val="49"/>
    <w:qFormat/>
    <w:uiPriority w:val="0"/>
    <w:rPr>
      <w:color w:val="7D9029"/>
    </w:rPr>
  </w:style>
  <w:style w:type="character" w:customStyle="1" w:styleId="79">
    <w:name w:val="RegionMarkerTok"/>
    <w:basedOn w:val="49"/>
    <w:qFormat/>
    <w:uiPriority w:val="0"/>
  </w:style>
  <w:style w:type="character" w:customStyle="1" w:styleId="80">
    <w:name w:val="InformationTok"/>
    <w:basedOn w:val="49"/>
    <w:qFormat/>
    <w:uiPriority w:val="0"/>
    <w:rPr>
      <w:b/>
      <w:i/>
      <w:color w:val="60A0B0"/>
    </w:rPr>
  </w:style>
  <w:style w:type="character" w:customStyle="1" w:styleId="81">
    <w:name w:val="WarningTok"/>
    <w:basedOn w:val="49"/>
    <w:qFormat/>
    <w:uiPriority w:val="0"/>
    <w:rPr>
      <w:b/>
      <w:i/>
      <w:color w:val="60A0B0"/>
    </w:rPr>
  </w:style>
  <w:style w:type="character" w:customStyle="1" w:styleId="82">
    <w:name w:val="AlertTok"/>
    <w:basedOn w:val="49"/>
    <w:qFormat/>
    <w:uiPriority w:val="0"/>
    <w:rPr>
      <w:b/>
      <w:color w:val="FF0000"/>
    </w:rPr>
  </w:style>
  <w:style w:type="character" w:customStyle="1" w:styleId="83">
    <w:name w:val="ErrorTok"/>
    <w:basedOn w:val="49"/>
    <w:qFormat/>
    <w:uiPriority w:val="0"/>
    <w:rPr>
      <w:b/>
      <w:color w:val="FF0000"/>
    </w:rPr>
  </w:style>
  <w:style w:type="character" w:customStyle="1" w:styleId="84">
    <w:name w:val="NormalTok"/>
    <w:basedOn w:val="4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592</Words>
  <Characters>706</Characters>
  <Lines>3</Lines>
  <Paragraphs>1</Paragraphs>
  <TotalTime>28</TotalTime>
  <ScaleCrop>false</ScaleCrop>
  <LinksUpToDate>false</LinksUpToDate>
  <CharactersWithSpaces>746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2025-06-06T03:11:00Z</dcterms:created>
  <dc:creator>。。</dc:creator>
  <cp:lastModifiedBy>。。</cp:lastModifiedBy>
  <dcterms:modified xsi:type="dcterms:W3CDTF">2025-06-06T03:15:04Z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eyJoZGlkIjoiZGFhZmFiZWQwNGNjMTdmNzMxOGIwYzdmYjNkZjAyNTIiLCJ1c2VySWQiOiIxMjc3NzIyMjQwIn0=</vt:lpwstr>
  </property>
  <property fmtid="{D5CDD505-2E9C-101B-9397-08002B2CF9AE}" pid="3" name="KSOProductBuildVer">
    <vt:lpwstr>2052-12.1.0.20784</vt:lpwstr>
  </property>
  <property fmtid="{D5CDD505-2E9C-101B-9397-08002B2CF9AE}" pid="4" name="ICV">
    <vt:lpwstr>3E35511C7BFF4C9AA2DBB12640FC1C4D_13</vt:lpwstr>
  </property>
</Properties>
</file>